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both"/>
        <w:rPr>
          <w:rFonts w:ascii="方正小标宋简体" w:eastAsia="方正小标宋简体"/>
          <w:sz w:val="32"/>
          <w:szCs w:val="32"/>
        </w:rPr>
      </w:pPr>
      <w:bookmarkStart w:id="0" w:name="_GoBack"/>
      <w:bookmarkEnd w:id="0"/>
      <w:r>
        <w:rPr>
          <w:rFonts w:hint="eastAsia" w:ascii="方正仿宋_GBK" w:eastAsia="方正仿宋_GBK" w:cs="Times New Roman"/>
          <w:sz w:val="32"/>
          <w:szCs w:val="32"/>
        </w:rPr>
        <w:t>附件2：</w:t>
      </w:r>
    </w:p>
    <w:p>
      <w:pPr>
        <w:pStyle w:val="5"/>
        <w:spacing w:before="0" w:beforeAutospacing="0" w:after="0" w:afterAutospacing="0" w:line="560" w:lineRule="exact"/>
        <w:jc w:val="center"/>
        <w:rPr>
          <w:rFonts w:hint="eastAsia" w:ascii="方正小标宋简体" w:eastAsia="方正小标宋简体"/>
          <w:sz w:val="32"/>
          <w:szCs w:val="32"/>
        </w:rPr>
      </w:pPr>
      <w:r>
        <w:rPr>
          <w:rFonts w:hint="eastAsia" w:ascii="方正小标宋简体" w:eastAsia="方正小标宋简体"/>
          <w:sz w:val="32"/>
          <w:szCs w:val="32"/>
        </w:rPr>
        <w:t>二级学院教学档案检查内容及相关要求</w:t>
      </w:r>
    </w:p>
    <w:tbl>
      <w:tblPr>
        <w:tblStyle w:val="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b/>
                <w:kern w:val="0"/>
                <w:sz w:val="24"/>
              </w:rPr>
            </w:pPr>
            <w:r>
              <w:rPr>
                <w:rFonts w:hint="eastAsia" w:ascii="宋体" w:hAnsi="宋体"/>
                <w:b/>
                <w:kern w:val="0"/>
                <w:sz w:val="24"/>
              </w:rPr>
              <w:t>项目</w:t>
            </w:r>
          </w:p>
        </w:tc>
        <w:tc>
          <w:tcPr>
            <w:tcW w:w="7144"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b/>
                <w:kern w:val="0"/>
                <w:sz w:val="24"/>
              </w:rPr>
            </w:pPr>
            <w:r>
              <w:rPr>
                <w:rFonts w:hint="eastAsia" w:ascii="宋体" w:hAnsi="宋体"/>
                <w:b/>
                <w:kern w:val="0"/>
                <w:sz w:val="24"/>
              </w:rPr>
              <w:t>检查内容及标准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4"/>
              </w:rPr>
            </w:pPr>
            <w:r>
              <w:rPr>
                <w:rFonts w:hint="eastAsia" w:ascii="宋体" w:hAnsi="宋体"/>
                <w:b/>
                <w:bCs/>
                <w:kern w:val="0"/>
                <w:sz w:val="24"/>
              </w:rPr>
              <w:t>1.人才培养方案</w:t>
            </w:r>
          </w:p>
        </w:tc>
        <w:tc>
          <w:tcPr>
            <w:tcW w:w="714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1.2024级人才培养方案；</w:t>
            </w:r>
          </w:p>
          <w:p>
            <w:pPr>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2.文本格式统一，符合学校相关要求；</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rPr>
              <w:t>3.</w:t>
            </w:r>
            <w:r>
              <w:rPr>
                <w:rFonts w:hint="eastAsia" w:ascii="方正仿宋_GBK" w:hAnsi="方正仿宋_GBK" w:eastAsia="方正仿宋_GBK" w:cs="方正仿宋_GBK"/>
                <w:kern w:val="0"/>
                <w:sz w:val="24"/>
              </w:rPr>
              <w:t>专业定位和特色明确，且与学校人才培养目标和办学定位紧密结合；</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4.毕业要求覆盖本科专业类教学质量国家标准和专业认证要求，毕业要求指标点分解合理，可落实、可评价、有逻辑性、体现学科专业特点；</w:t>
            </w:r>
          </w:p>
          <w:p>
            <w:pPr>
              <w:spacing w:line="360" w:lineRule="exact"/>
              <w:rPr>
                <w:rFonts w:ascii="方正仿宋_GBK" w:hAnsi="方正仿宋_GBK" w:eastAsia="方正仿宋_GBK" w:cs="方正仿宋_GBK"/>
                <w:kern w:val="0"/>
                <w:sz w:val="24"/>
                <w:highlight w:val="yellow"/>
              </w:rPr>
            </w:pPr>
            <w:r>
              <w:rPr>
                <w:rFonts w:hint="eastAsia" w:ascii="方正仿宋_GBK" w:hAnsi="方正仿宋_GBK" w:eastAsia="方正仿宋_GBK" w:cs="方正仿宋_GBK"/>
                <w:kern w:val="0"/>
                <w:sz w:val="24"/>
              </w:rPr>
              <w:t>5.课程体系合理，有效支撑毕业要求，艺术、体育、劳动、实践类等相关课程及课程模块学分学时满足新一轮审核评估和专业认证要求（公共艺术课程学分≥2、劳动教育课程模块学时≥32、人文类专业实践教学学分占比≥</w:t>
            </w:r>
            <w:r>
              <w:rPr>
                <w:rFonts w:hint="eastAsia" w:ascii="方正仿宋_GBK" w:hAnsi="方正仿宋_GBK" w:eastAsia="方正仿宋_GBK" w:cs="方正仿宋_GBK"/>
                <w:kern w:val="0"/>
                <w:sz w:val="24"/>
                <w:lang w:val="en-US" w:eastAsia="zh-CN"/>
              </w:rPr>
              <w:t>20</w:t>
            </w:r>
            <w:r>
              <w:rPr>
                <w:rFonts w:hint="eastAsia" w:ascii="方正仿宋_GBK" w:hAnsi="方正仿宋_GBK" w:eastAsia="方正仿宋_GBK" w:cs="方正仿宋_GBK"/>
                <w:kern w:val="0"/>
                <w:sz w:val="24"/>
              </w:rPr>
              <w:t>%，理工类专业≥</w:t>
            </w:r>
            <w:r>
              <w:rPr>
                <w:rFonts w:hint="eastAsia" w:ascii="方正仿宋_GBK" w:hAnsi="方正仿宋_GBK" w:eastAsia="方正仿宋_GBK" w:cs="方正仿宋_GBK"/>
                <w:kern w:val="0"/>
                <w:sz w:val="24"/>
                <w:lang w:val="en-US" w:eastAsia="zh-CN"/>
              </w:rPr>
              <w:t>30</w:t>
            </w:r>
            <w:r>
              <w:rPr>
                <w:rFonts w:hint="eastAsia" w:ascii="方正仿宋_GBK" w:hAnsi="方正仿宋_GBK" w:eastAsia="方正仿宋_GBK" w:cs="方正仿宋_GBK"/>
                <w:kern w:val="0"/>
                <w:sz w:val="24"/>
              </w:rPr>
              <w:t>%）；</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6.方案制定过程规范，校内外调研、论证等过程性材料完整。</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b/>
                <w:bCs/>
                <w:kern w:val="0"/>
                <w:sz w:val="24"/>
              </w:rPr>
              <w:t>注明：本次只检查人才培养方案调研、论证等制定的过程性材料。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4"/>
              </w:rPr>
            </w:pPr>
            <w:r>
              <w:rPr>
                <w:rFonts w:hint="eastAsia" w:ascii="宋体" w:hAnsi="宋体"/>
                <w:b/>
                <w:bCs/>
                <w:kern w:val="0"/>
                <w:sz w:val="24"/>
              </w:rPr>
              <w:t>2.课程教学大纲</w:t>
            </w:r>
          </w:p>
        </w:tc>
        <w:tc>
          <w:tcPr>
            <w:tcW w:w="714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1.2024版本科课程教学大纲（与2024级人才培养方案配套）；</w:t>
            </w:r>
          </w:p>
          <w:p>
            <w:pPr>
              <w:widowControl/>
              <w:shd w:val="clear" w:color="auto" w:fill="FFFFFF"/>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2.课程教学大纲格式规范、内容完整；</w:t>
            </w:r>
          </w:p>
          <w:p>
            <w:pPr>
              <w:widowControl/>
              <w:shd w:val="clear" w:color="auto" w:fill="FFFFFF"/>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3.课程教学目标明确，有效支撑毕业要求指标点；</w:t>
            </w:r>
          </w:p>
          <w:p>
            <w:pPr>
              <w:widowControl/>
              <w:shd w:val="clear" w:color="auto" w:fill="FFFFFF"/>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4.政治方向准确、有效融入思政元素；</w:t>
            </w:r>
          </w:p>
          <w:p>
            <w:pPr>
              <w:spacing w:line="360" w:lineRule="exact"/>
              <w:rPr>
                <w:rFonts w:ascii="方正仿宋_GBK" w:hAnsi="方正仿宋_GBK" w:eastAsia="方正仿宋_GBK" w:cs="方正仿宋_GBK"/>
              </w:rPr>
            </w:pPr>
            <w:r>
              <w:rPr>
                <w:rFonts w:hint="eastAsia" w:ascii="方正仿宋_GBK" w:hAnsi="方正仿宋_GBK" w:eastAsia="方正仿宋_GBK" w:cs="方正仿宋_GBK"/>
                <w:kern w:val="0"/>
                <w:sz w:val="24"/>
              </w:rPr>
              <w:t>5.过程性课程考核要求明确，作业、小测验、课堂表现、期末考试等各类考核评分标准清晰、有梯度、可操作性强；</w:t>
            </w:r>
          </w:p>
          <w:p>
            <w:pPr>
              <w:widowControl/>
              <w:shd w:val="clear" w:color="auto" w:fill="FFFFFF"/>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6.课程目标达成情况计算方法正确。</w:t>
            </w:r>
          </w:p>
          <w:p>
            <w:pPr>
              <w:widowControl/>
              <w:shd w:val="clear" w:color="auto" w:fill="FFFFFF"/>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b/>
                <w:bCs/>
                <w:kern w:val="0"/>
                <w:sz w:val="24"/>
              </w:rPr>
              <w:t>注明：本次不检查课程教学大纲，拟定期中检查。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4"/>
              </w:rPr>
            </w:pPr>
            <w:r>
              <w:rPr>
                <w:rFonts w:hint="eastAsia" w:ascii="宋体" w:hAnsi="宋体"/>
                <w:b/>
                <w:bCs/>
                <w:kern w:val="0"/>
                <w:sz w:val="24"/>
              </w:rPr>
              <w:t>3.试卷</w:t>
            </w:r>
          </w:p>
        </w:tc>
        <w:tc>
          <w:tcPr>
            <w:tcW w:w="7144" w:type="dxa"/>
            <w:tcBorders>
              <w:top w:val="single" w:color="auto" w:sz="4" w:space="0"/>
              <w:left w:val="single" w:color="auto" w:sz="4" w:space="0"/>
              <w:bottom w:val="single" w:color="auto" w:sz="4" w:space="0"/>
              <w:right w:val="single" w:color="auto" w:sz="4" w:space="0"/>
            </w:tcBorders>
            <w:vAlign w:val="center"/>
          </w:tcPr>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1.2021-2022、2022-2023、2023-2024三个学年试卷装订归档；</w:t>
            </w:r>
          </w:p>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2.试卷命题审核表、试卷评阅记录表等签字完整、清晰；</w:t>
            </w:r>
          </w:p>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3.过程性成绩记录、课程目标达成度计算完整、准确；</w:t>
            </w:r>
          </w:p>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4.考试质量分析评估表填写规范，问题分析部分与课程目标达成情况契合，能够反映学生学习过程中知识、能力、素质等方面存在的问题，持续改进部分与问题分析契合，改进措施具体、可操作性强、涉及到教学内容和教学方法等层面，杜绝“假、大、空”；</w:t>
            </w:r>
          </w:p>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5.期末考试试卷评卷规范，成绩准确，无统分错误、无反复修改痕迹。</w:t>
            </w:r>
          </w:p>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b/>
                <w:bCs/>
              </w:rPr>
              <w:t>注明：因各学院专业</w:t>
            </w:r>
            <w:r>
              <w:rPr>
                <w:rFonts w:hint="eastAsia" w:ascii="方正仿宋_GBK" w:hAnsi="方正仿宋_GBK" w:eastAsia="方正仿宋_GBK" w:cs="方正仿宋_GBK"/>
                <w:b/>
                <w:bCs/>
                <w:lang w:val="en-US" w:eastAsia="zh-CN"/>
              </w:rPr>
              <w:t>建设</w:t>
            </w:r>
            <w:r>
              <w:rPr>
                <w:rFonts w:hint="eastAsia" w:ascii="方正仿宋_GBK" w:hAnsi="方正仿宋_GBK" w:eastAsia="方正仿宋_GBK" w:cs="方正仿宋_GBK"/>
                <w:b/>
                <w:bCs/>
              </w:rPr>
              <w:t>情况不同，本次试卷检查材料以试卷封面上所列的封装清单为准。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b/>
                <w:bCs/>
                <w:kern w:val="0"/>
                <w:sz w:val="24"/>
              </w:rPr>
            </w:pPr>
            <w:r>
              <w:rPr>
                <w:rFonts w:hint="eastAsia" w:ascii="宋体" w:hAnsi="宋体"/>
                <w:b/>
                <w:bCs/>
                <w:kern w:val="0"/>
                <w:sz w:val="24"/>
              </w:rPr>
              <w:t>4.课程报告</w:t>
            </w:r>
          </w:p>
        </w:tc>
        <w:tc>
          <w:tcPr>
            <w:tcW w:w="7144" w:type="dxa"/>
            <w:tcBorders>
              <w:top w:val="single" w:color="auto" w:sz="4" w:space="0"/>
              <w:left w:val="single" w:color="auto" w:sz="4" w:space="0"/>
              <w:bottom w:val="single" w:color="auto" w:sz="4" w:space="0"/>
              <w:right w:val="single" w:color="auto" w:sz="4" w:space="0"/>
            </w:tcBorders>
            <w:vAlign w:val="center"/>
          </w:tcPr>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1.2023-2024学年第一学期课程报告，重点是必修课程和核心课程；</w:t>
            </w:r>
          </w:p>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2.课程目标达成度核算准确，包括平时考核达成度和期末考核达成度；</w:t>
            </w:r>
          </w:p>
          <w:p>
            <w:pPr>
              <w:pStyle w:val="5"/>
              <w:widowControl w:val="0"/>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3.课程目标达成结果分析具体、详细，除了分析各分目标涉及的作业、测验、期末考题学生完成情况外，还需分析问题原因，剖析学生在知识掌握和应用方面存在的问题；</w:t>
            </w:r>
          </w:p>
          <w:p>
            <w:pPr>
              <w:pStyle w:val="5"/>
              <w:widowControl w:val="0"/>
              <w:numPr>
                <w:ilvl w:val="0"/>
                <w:numId w:val="1"/>
              </w:numPr>
              <w:shd w:val="clear" w:color="auto" w:fill="FFFFFF"/>
              <w:spacing w:before="0" w:beforeAutospacing="0" w:after="0" w:afterAutospacing="0" w:line="360" w:lineRule="exact"/>
              <w:jc w:val="both"/>
              <w:outlineLvl w:val="0"/>
              <w:rPr>
                <w:rFonts w:ascii="方正仿宋_GBK" w:hAnsi="方正仿宋_GBK" w:eastAsia="方正仿宋_GBK" w:cs="方正仿宋_GBK"/>
              </w:rPr>
            </w:pPr>
            <w:r>
              <w:rPr>
                <w:rFonts w:hint="eastAsia" w:ascii="方正仿宋_GBK" w:hAnsi="方正仿宋_GBK" w:eastAsia="方正仿宋_GBK" w:cs="方正仿宋_GBK"/>
              </w:rPr>
              <w:t>持续改进措施与课程目标达成结果分析一一对应，对存在的问题逐一回应，改进措施具体、可操作性强、涉及到教学内容和教学方法等层面，杜绝“假、大、空”；建议将本次课程目标达成情况与上一次达成情况进行对比分析，以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b/>
                <w:bCs/>
                <w:kern w:val="0"/>
                <w:sz w:val="24"/>
              </w:rPr>
            </w:pPr>
            <w:r>
              <w:rPr>
                <w:rFonts w:hint="eastAsia" w:ascii="宋体" w:hAnsi="宋体"/>
                <w:b/>
                <w:bCs/>
                <w:kern w:val="0"/>
                <w:sz w:val="24"/>
              </w:rPr>
              <w:t>5.毕业论文（设计）</w:t>
            </w:r>
          </w:p>
        </w:tc>
        <w:tc>
          <w:tcPr>
            <w:tcW w:w="714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1.2022届、2023届、2024届本科毕业生毕业论文（设计）材料整理、归档工作（含开题、中期、教师指导、答辩等全过程材料），</w:t>
            </w:r>
            <w:r>
              <w:rPr>
                <w:rFonts w:hint="eastAsia" w:ascii="方正仿宋_GBK" w:hAnsi="方正仿宋_GBK" w:eastAsia="方正仿宋_GBK" w:cs="方正仿宋_GBK"/>
                <w:b/>
                <w:bCs/>
                <w:kern w:val="0"/>
                <w:sz w:val="24"/>
              </w:rPr>
              <w:t>其中2024届提供按序时进度应完成的过程性材料</w:t>
            </w:r>
            <w:r>
              <w:rPr>
                <w:rFonts w:hint="eastAsia" w:ascii="方正仿宋_GBK" w:hAnsi="方正仿宋_GBK" w:eastAsia="方正仿宋_GBK" w:cs="方正仿宋_GBK"/>
                <w:kern w:val="0"/>
                <w:sz w:val="24"/>
              </w:rPr>
              <w:t>；</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2.各专业以实验、实习、工程实践和社会调查等实践性工作为基础的毕业论文（设计）比例≥50%；（学院提供各专业毕业论文清单及达标情况）</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3.毕业论文（设计）校企双导师制实施情况；（各学院分专业提供论文指导教师情况）</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4.毕业论文选题恰当，具备专业研究意义，能够有效支撑专业毕业要求；</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5.毕业论文（设计）定稿按照学校本科毕业论文（设计）模版要求撰写，条理清楚，文字通顺，技术用语规范，符号统一，编号齐全，书写工整，设计图纸完备、整洁、正确；</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6.各阶段评阅记录详细、完整，相关教师签字字迹清晰；</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7.答辩过程记录清晰，答辩时间及答辩秘书签字等相关内容填写完整；</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8.成绩计算比例合理、登记完整、分数准确；</w:t>
            </w:r>
          </w:p>
          <w:p>
            <w:pPr>
              <w:spacing w:line="360" w:lineRule="exac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9.毕业论文（设计）定稿中相关签名完整、字迹清晰。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b/>
                <w:bCs/>
                <w:kern w:val="0"/>
                <w:sz w:val="24"/>
              </w:rPr>
            </w:pPr>
            <w:r>
              <w:rPr>
                <w:rFonts w:hint="eastAsia" w:ascii="宋体" w:hAnsi="宋体"/>
                <w:b/>
                <w:bCs/>
                <w:kern w:val="0"/>
                <w:sz w:val="24"/>
              </w:rPr>
              <w:t>6.实习材料</w:t>
            </w:r>
          </w:p>
        </w:tc>
        <w:tc>
          <w:tcPr>
            <w:tcW w:w="714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1.2022届、2023届、2024毕业生实习材料，</w:t>
            </w:r>
            <w:r>
              <w:rPr>
                <w:rFonts w:hint="eastAsia" w:ascii="方正仿宋_GBK" w:hAnsi="方正仿宋_GBK" w:eastAsia="方正仿宋_GBK" w:cs="方正仿宋_GBK"/>
                <w:b/>
                <w:bCs/>
                <w:kern w:val="0"/>
                <w:sz w:val="24"/>
              </w:rPr>
              <w:t>其中2024届提供按序时进度应完成的过程性材料</w:t>
            </w:r>
            <w:r>
              <w:rPr>
                <w:rFonts w:hint="eastAsia" w:ascii="方正仿宋_GBK" w:hAnsi="方正仿宋_GBK" w:eastAsia="方正仿宋_GBK" w:cs="方正仿宋_GBK"/>
                <w:kern w:val="0"/>
                <w:sz w:val="24"/>
              </w:rPr>
              <w:t>；</w:t>
            </w:r>
          </w:p>
          <w:p>
            <w:pPr>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2.</w:t>
            </w:r>
            <w:r>
              <w:rPr>
                <w:rFonts w:hint="eastAsia" w:ascii="方正仿宋_GBK" w:hAnsi="方正仿宋_GBK" w:eastAsia="方正仿宋_GBK" w:cs="方正仿宋_GBK"/>
              </w:rPr>
              <w:t xml:space="preserve"> </w:t>
            </w:r>
            <w:r>
              <w:rPr>
                <w:rFonts w:hint="eastAsia" w:ascii="方正仿宋_GBK" w:hAnsi="方正仿宋_GBK" w:eastAsia="方正仿宋_GBK" w:cs="方正仿宋_GBK"/>
                <w:kern w:val="0"/>
                <w:sz w:val="24"/>
              </w:rPr>
              <w:t>实习教学大纲、实习日志、实习手册、实习答辩材料、实习总结等齐备；实习教学大纲、指导书符合专业人才培养方案，凸显专业能力训练要求；</w:t>
            </w:r>
          </w:p>
          <w:p>
            <w:pPr>
              <w:spacing w:line="360" w:lineRule="exact"/>
              <w:jc w:val="left"/>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3.实习过程管理规范，过程性材料完整；</w:t>
            </w:r>
          </w:p>
          <w:p>
            <w:pPr>
              <w:spacing w:line="36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4</w:t>
            </w:r>
            <w:r>
              <w:rPr>
                <w:rFonts w:hint="eastAsia" w:ascii="方正仿宋_GBK" w:hAnsi="方正仿宋_GBK" w:eastAsia="方正仿宋_GBK" w:cs="方正仿宋_GBK"/>
                <w:kern w:val="0"/>
                <w:sz w:val="24"/>
              </w:rPr>
              <w:t>.有科学的实习成绩评定办法和标准，实习成绩评定材料完整、规范。</w:t>
            </w:r>
          </w:p>
        </w:tc>
      </w:tr>
    </w:tbl>
    <w:p>
      <w:pPr>
        <w:jc w:val="left"/>
        <w:rPr>
          <w:rFonts w:ascii="方正仿宋_GBK" w:eastAsia="方正仿宋_GBK"/>
          <w:sz w:val="32"/>
          <w:szCs w:val="32"/>
        </w:rPr>
      </w:pPr>
      <w:r>
        <w:rPr>
          <w:rFonts w:hint="eastAsia" w:ascii="方正仿宋_GBK" w:eastAsia="方正仿宋_GBK"/>
          <w:sz w:val="32"/>
          <w:szCs w:val="32"/>
        </w:rPr>
        <w:t xml:space="preserve">  </w:t>
      </w:r>
    </w:p>
    <w:p>
      <w:pPr>
        <w:jc w:val="left"/>
        <w:rPr>
          <w:rFonts w:ascii="方正仿宋_GBK" w:eastAsia="方正仿宋_GBK"/>
          <w:sz w:val="32"/>
          <w:szCs w:val="3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ABE1B"/>
    <w:multiLevelType w:val="singleLevel"/>
    <w:tmpl w:val="E40ABE1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YjQxNjg3NDk2YTQyOGQ5ZjAzNmMxNTc2NDgxNGQifQ=="/>
  </w:docVars>
  <w:rsids>
    <w:rsidRoot w:val="00F05E5F"/>
    <w:rsid w:val="00DC7011"/>
    <w:rsid w:val="00F05E5F"/>
    <w:rsid w:val="03027C64"/>
    <w:rsid w:val="094D5DC0"/>
    <w:rsid w:val="13C34484"/>
    <w:rsid w:val="13F801A6"/>
    <w:rsid w:val="15244413"/>
    <w:rsid w:val="17AB18B8"/>
    <w:rsid w:val="1E431488"/>
    <w:rsid w:val="1E7E0EB4"/>
    <w:rsid w:val="281A7A33"/>
    <w:rsid w:val="28606B0E"/>
    <w:rsid w:val="4B59253E"/>
    <w:rsid w:val="58FB6EEF"/>
    <w:rsid w:val="5A8E3F61"/>
    <w:rsid w:val="5EC26CA6"/>
    <w:rsid w:val="62120FAA"/>
    <w:rsid w:val="682461F9"/>
    <w:rsid w:val="6FEB61F5"/>
    <w:rsid w:val="76462920"/>
    <w:rsid w:val="79AF4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jc w:val="center"/>
      <w:outlineLvl w:val="0"/>
    </w:pPr>
    <w:rPr>
      <w:rFonts w:ascii="Times New Roman" w:hAnsi="Times New Roman" w:eastAsia="黑体"/>
      <w:b/>
      <w:bCs/>
      <w:kern w:val="44"/>
      <w:sz w:val="36"/>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alloon Text"/>
    <w:basedOn w:val="1"/>
    <w:link w:val="15"/>
    <w:autoRedefine/>
    <w:qFormat/>
    <w:uiPriority w:val="0"/>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6">
    <w:name w:val="annotation subject"/>
    <w:basedOn w:val="3"/>
    <w:next w:val="3"/>
    <w:link w:val="14"/>
    <w:autoRedefine/>
    <w:qFormat/>
    <w:uiPriority w:val="0"/>
    <w:rPr>
      <w:b/>
      <w:bCs/>
    </w:rPr>
  </w:style>
  <w:style w:type="table" w:styleId="8">
    <w:name w:val="Table Grid"/>
    <w:basedOn w:val="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paragraph" w:customStyle="1" w:styleId="11">
    <w:name w:val="目录A"/>
    <w:basedOn w:val="1"/>
    <w:autoRedefine/>
    <w:qFormat/>
    <w:uiPriority w:val="0"/>
    <w:pPr>
      <w:spacing w:line="700" w:lineRule="exact"/>
      <w:jc w:val="center"/>
    </w:pPr>
    <w:rPr>
      <w:rFonts w:hint="eastAsia" w:ascii="黑体" w:hAnsi="黑体" w:eastAsia="黑体" w:cs="Courier New"/>
      <w:b/>
      <w:bCs/>
      <w:sz w:val="36"/>
      <w:szCs w:val="36"/>
    </w:rPr>
  </w:style>
  <w:style w:type="paragraph" w:customStyle="1" w:styleId="12">
    <w:name w:val="目录B"/>
    <w:basedOn w:val="1"/>
    <w:autoRedefine/>
    <w:qFormat/>
    <w:uiPriority w:val="0"/>
    <w:pPr>
      <w:keepNext/>
      <w:keepLines/>
      <w:ind w:left="2700" w:hanging="2700"/>
      <w:jc w:val="center"/>
      <w:outlineLvl w:val="0"/>
    </w:pPr>
    <w:rPr>
      <w:rFonts w:hint="eastAsia" w:ascii="黑体" w:hAnsi="黑体" w:eastAsia="黑体"/>
      <w:b/>
      <w:bCs/>
      <w:kern w:val="44"/>
      <w:sz w:val="36"/>
      <w:szCs w:val="36"/>
    </w:rPr>
  </w:style>
  <w:style w:type="character" w:customStyle="1" w:styleId="13">
    <w:name w:val="批注文字 字符"/>
    <w:basedOn w:val="9"/>
    <w:link w:val="3"/>
    <w:autoRedefine/>
    <w:qFormat/>
    <w:uiPriority w:val="0"/>
    <w:rPr>
      <w:rFonts w:ascii="Calibri" w:hAnsi="Calibri"/>
      <w:kern w:val="2"/>
      <w:sz w:val="21"/>
      <w:szCs w:val="24"/>
    </w:rPr>
  </w:style>
  <w:style w:type="character" w:customStyle="1" w:styleId="14">
    <w:name w:val="批注主题 字符"/>
    <w:basedOn w:val="13"/>
    <w:link w:val="6"/>
    <w:autoRedefine/>
    <w:qFormat/>
    <w:uiPriority w:val="0"/>
    <w:rPr>
      <w:rFonts w:ascii="Calibri" w:hAnsi="Calibri"/>
      <w:b/>
      <w:bCs/>
      <w:kern w:val="2"/>
      <w:sz w:val="21"/>
      <w:szCs w:val="24"/>
    </w:rPr>
  </w:style>
  <w:style w:type="character" w:customStyle="1" w:styleId="15">
    <w:name w:val="批注框文本 字符"/>
    <w:basedOn w:val="9"/>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260</Words>
  <Characters>1485</Characters>
  <Lines>12</Lines>
  <Paragraphs>3</Paragraphs>
  <TotalTime>3</TotalTime>
  <ScaleCrop>false</ScaleCrop>
  <LinksUpToDate>false</LinksUpToDate>
  <CharactersWithSpaces>1742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2024-03-18T00:35:00Z</dcterms:created>
  <dc:creator>Administrator</dc:creator>
  <cp:lastModifiedBy>笑鼛</cp:lastModifiedBy>
  <cp:lastPrinted>2024-03-13T02:22:00Z</cp:lastPrinted>
  <dcterms:modified xsi:type="dcterms:W3CDTF">2024-03-18T06:59:26Z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ABFB8FFF997E479285F25F7F1F180DD6_13</vt:lpwstr>
  </property>
</Properties>
</file>